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58266">
      <w:pPr>
        <w:spacing w:line="301" w:lineRule="auto"/>
        <w:rPr>
          <w:rFonts w:ascii="Arial"/>
          <w:sz w:val="21"/>
        </w:rPr>
      </w:pPr>
    </w:p>
    <w:p w14:paraId="22B61D26">
      <w:pPr>
        <w:spacing w:line="301" w:lineRule="auto"/>
        <w:rPr>
          <w:rFonts w:ascii="Arial"/>
          <w:sz w:val="21"/>
        </w:rPr>
      </w:pPr>
    </w:p>
    <w:p w14:paraId="59792FE6">
      <w:pPr>
        <w:spacing w:line="207" w:lineRule="auto"/>
        <w:jc w:val="center"/>
        <w:outlineLvl w:val="0"/>
        <w:rPr>
          <w:rFonts w:hint="eastAsia" w:ascii="方正小标宋简体" w:hAnsi="方正小标宋简体" w:eastAsia="方正小标宋简体" w:cs="方正小标宋简体"/>
          <w:sz w:val="43"/>
          <w:szCs w:val="43"/>
          <w:lang w:val="en-US" w:eastAsia="zh-CN"/>
        </w:rPr>
      </w:pPr>
      <w:r>
        <w:rPr>
          <w:rFonts w:ascii="方正小标宋简体" w:hAnsi="方正小标宋简体" w:eastAsia="方正小标宋简体" w:cs="方正小标宋简体"/>
          <w:spacing w:val="6"/>
          <w:sz w:val="43"/>
          <w:szCs w:val="43"/>
        </w:rPr>
        <w:t>采购需求</w:t>
      </w:r>
      <w:r>
        <w:rPr>
          <w:rFonts w:hint="eastAsia" w:ascii="方正小标宋简体" w:hAnsi="方正小标宋简体" w:eastAsia="方正小标宋简体" w:cs="方正小标宋简体"/>
          <w:spacing w:val="6"/>
          <w:sz w:val="43"/>
          <w:szCs w:val="43"/>
          <w:lang w:val="en-US" w:eastAsia="zh-CN"/>
        </w:rPr>
        <w:t>书</w:t>
      </w:r>
    </w:p>
    <w:p w14:paraId="05B2C3AD">
      <w:pPr>
        <w:spacing w:line="257" w:lineRule="auto"/>
        <w:rPr>
          <w:rFonts w:ascii="Arial"/>
          <w:sz w:val="21"/>
        </w:rPr>
      </w:pPr>
    </w:p>
    <w:p w14:paraId="492D596D">
      <w:pPr>
        <w:spacing w:line="257" w:lineRule="auto"/>
        <w:rPr>
          <w:rFonts w:ascii="Arial"/>
          <w:sz w:val="21"/>
        </w:rPr>
      </w:pPr>
    </w:p>
    <w:p w14:paraId="47C39ED8">
      <w:pPr>
        <w:spacing w:before="111" w:line="221" w:lineRule="auto"/>
        <w:ind w:left="677"/>
        <w:outlineLvl w:val="1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3"/>
          <w:sz w:val="34"/>
          <w:szCs w:val="34"/>
        </w:rPr>
        <w:t>一、项目概况</w:t>
      </w:r>
    </w:p>
    <w:p w14:paraId="0C104D4C">
      <w:pPr>
        <w:pStyle w:val="2"/>
        <w:spacing w:before="151" w:line="264" w:lineRule="auto"/>
        <w:ind w:left="1" w:right="114" w:firstLine="680"/>
      </w:pPr>
      <w:r>
        <w:rPr>
          <w:spacing w:val="-1"/>
        </w:rPr>
        <w:t>（一）项目名称：</w:t>
      </w:r>
      <w:r>
        <w:rPr>
          <w:rFonts w:hint="eastAsia"/>
          <w:spacing w:val="-1"/>
          <w:lang w:val="en-US" w:eastAsia="zh-CN"/>
        </w:rPr>
        <w:t>江门开放大学邦民楼、学生楼（4号楼）</w:t>
      </w:r>
      <w:r>
        <w:rPr>
          <w:spacing w:val="-1"/>
        </w:rPr>
        <w:t>房屋安全鉴定</w:t>
      </w:r>
      <w:r>
        <w:rPr>
          <w:spacing w:val="-8"/>
        </w:rPr>
        <w:t>项目。</w:t>
      </w:r>
    </w:p>
    <w:p w14:paraId="02DEAF21">
      <w:pPr>
        <w:pStyle w:val="2"/>
        <w:spacing w:before="146" w:line="263" w:lineRule="auto"/>
        <w:ind w:left="6" w:right="114" w:firstLine="675"/>
        <w:rPr>
          <w:rFonts w:hint="default" w:eastAsia="仿宋"/>
          <w:lang w:val="en-US" w:eastAsia="zh-CN"/>
        </w:rPr>
      </w:pPr>
      <w:r>
        <w:rPr>
          <w:spacing w:val="6"/>
        </w:rPr>
        <w:t>（二）项目概况：</w:t>
      </w:r>
      <w:r>
        <w:rPr>
          <w:rFonts w:hint="eastAsia"/>
          <w:spacing w:val="6"/>
          <w:lang w:val="en-US" w:eastAsia="zh-CN"/>
        </w:rPr>
        <w:t>邦民楼、</w:t>
      </w:r>
      <w:r>
        <w:rPr>
          <w:rFonts w:hint="eastAsia"/>
          <w:spacing w:val="-1"/>
          <w:lang w:val="en-US" w:eastAsia="zh-CN"/>
        </w:rPr>
        <w:t>学生楼（4号楼）均</w:t>
      </w:r>
      <w:r>
        <w:rPr>
          <w:spacing w:val="6"/>
        </w:rPr>
        <w:t>位于江门</w:t>
      </w:r>
      <w:r>
        <w:rPr>
          <w:rFonts w:hint="eastAsia"/>
          <w:spacing w:val="6"/>
          <w:lang w:val="en-US" w:eastAsia="zh-CN"/>
        </w:rPr>
        <w:t>开放大学内。</w:t>
      </w:r>
      <w:r>
        <w:rPr>
          <w:rFonts w:hint="eastAsia"/>
          <w:spacing w:val="-1"/>
          <w:lang w:val="en-US" w:eastAsia="zh-CN"/>
        </w:rPr>
        <w:t>其中，</w:t>
      </w:r>
      <w:r>
        <w:rPr>
          <w:rFonts w:hint="eastAsia"/>
          <w:spacing w:val="6"/>
          <w:lang w:val="en-US" w:eastAsia="zh-CN"/>
        </w:rPr>
        <w:t>邦民楼为</w:t>
      </w:r>
      <w:r>
        <w:rPr>
          <w:rFonts w:hint="eastAsia"/>
          <w:spacing w:val="-1"/>
          <w:lang w:val="en-US" w:eastAsia="zh-CN"/>
        </w:rPr>
        <w:t>框架结构，5层，</w:t>
      </w:r>
      <w:r>
        <w:rPr>
          <w:spacing w:val="-1"/>
        </w:rPr>
        <w:t>总建筑面积为</w:t>
      </w:r>
      <w:r>
        <w:rPr>
          <w:rFonts w:hint="eastAsia"/>
          <w:spacing w:val="-1"/>
        </w:rPr>
        <w:t>3874.22</w:t>
      </w:r>
      <w:r>
        <w:rPr>
          <w:spacing w:val="-1"/>
        </w:rPr>
        <w:t>平方</w:t>
      </w:r>
      <w:r>
        <w:rPr>
          <w:spacing w:val="-2"/>
        </w:rPr>
        <w:t>米</w:t>
      </w:r>
      <w:r>
        <w:rPr>
          <w:rFonts w:hint="eastAsia"/>
          <w:spacing w:val="-2"/>
          <w:lang w:eastAsia="zh-CN"/>
        </w:rPr>
        <w:t>；</w:t>
      </w:r>
      <w:r>
        <w:rPr>
          <w:rFonts w:hint="eastAsia"/>
          <w:spacing w:val="-1"/>
          <w:lang w:val="en-US" w:eastAsia="zh-CN"/>
        </w:rPr>
        <w:t>学生楼（4号楼）为砖混结构，2层，</w:t>
      </w:r>
      <w:r>
        <w:rPr>
          <w:spacing w:val="-1"/>
        </w:rPr>
        <w:t>建筑面积</w:t>
      </w:r>
      <w:r>
        <w:rPr>
          <w:rFonts w:hint="eastAsia"/>
          <w:spacing w:val="-1"/>
          <w:lang w:val="en-US" w:eastAsia="zh-CN"/>
        </w:rPr>
        <w:t>约</w:t>
      </w:r>
      <w:r>
        <w:rPr>
          <w:spacing w:val="-1"/>
        </w:rPr>
        <w:t>为</w:t>
      </w:r>
      <w:r>
        <w:rPr>
          <w:rFonts w:hint="eastAsia"/>
          <w:spacing w:val="-1"/>
          <w:lang w:val="en-US" w:eastAsia="zh-CN"/>
        </w:rPr>
        <w:t>150</w:t>
      </w:r>
      <w:r>
        <w:rPr>
          <w:spacing w:val="-1"/>
        </w:rPr>
        <w:t>平方</w:t>
      </w:r>
      <w:r>
        <w:rPr>
          <w:spacing w:val="-2"/>
        </w:rPr>
        <w:t>米</w:t>
      </w:r>
      <w:r>
        <w:rPr>
          <w:rFonts w:hint="eastAsia"/>
          <w:spacing w:val="-2"/>
          <w:lang w:eastAsia="zh-CN"/>
        </w:rPr>
        <w:t>（</w:t>
      </w:r>
      <w:r>
        <w:rPr>
          <w:rFonts w:hint="eastAsia"/>
          <w:spacing w:val="-2"/>
          <w:lang w:val="en-US" w:eastAsia="zh-CN"/>
        </w:rPr>
        <w:t>以实际建筑面积结算）。</w:t>
      </w:r>
    </w:p>
    <w:p w14:paraId="2CAF233F">
      <w:pPr>
        <w:pStyle w:val="2"/>
        <w:spacing w:before="151" w:line="264" w:lineRule="auto"/>
        <w:ind w:left="5" w:right="115" w:firstLine="676"/>
        <w:rPr>
          <w:spacing w:val="-5"/>
        </w:rPr>
      </w:pPr>
      <w:r>
        <w:rPr>
          <w:spacing w:val="6"/>
        </w:rPr>
        <w:t>（三）服务金额：本项目采购总价上限为人民币</w:t>
      </w:r>
      <w:r>
        <w:rPr>
          <w:rFonts w:hint="eastAsia"/>
          <w:spacing w:val="6"/>
          <w:lang w:val="en-US" w:eastAsia="zh-CN"/>
        </w:rPr>
        <w:t>32000</w:t>
      </w:r>
      <w:r>
        <w:rPr>
          <w:spacing w:val="-5"/>
        </w:rPr>
        <w:t>元（含税）。</w:t>
      </w:r>
      <w:r>
        <w:rPr>
          <w:rFonts w:hint="eastAsia"/>
          <w:spacing w:val="-5"/>
        </w:rPr>
        <w:t>参照</w:t>
      </w:r>
      <w:r>
        <w:rPr>
          <w:rFonts w:hint="eastAsia"/>
          <w:spacing w:val="-5"/>
          <w:lang w:eastAsia="zh-CN"/>
        </w:rPr>
        <w:t>《</w:t>
      </w:r>
      <w:r>
        <w:rPr>
          <w:rFonts w:hint="eastAsia"/>
          <w:spacing w:val="-5"/>
        </w:rPr>
        <w:t>关于印发</w:t>
      </w:r>
      <w:r>
        <w:rPr>
          <w:rFonts w:hint="eastAsia" w:ascii="宋体" w:hAnsi="宋体" w:eastAsia="宋体" w:cs="宋体"/>
          <w:spacing w:val="-5"/>
        </w:rPr>
        <w:t>〈</w:t>
      </w:r>
      <w:r>
        <w:rPr>
          <w:rFonts w:hint="eastAsia"/>
          <w:spacing w:val="-5"/>
        </w:rPr>
        <w:t>广东省房屋建筑和市政工程质量安全检测收费指导价(第一批)</w:t>
      </w:r>
      <w:r>
        <w:rPr>
          <w:rFonts w:hint="eastAsia" w:ascii="宋体" w:hAnsi="宋体" w:eastAsia="宋体" w:cs="宋体"/>
          <w:spacing w:val="-5"/>
        </w:rPr>
        <w:t>〉</w:t>
      </w:r>
      <w:r>
        <w:rPr>
          <w:rFonts w:hint="eastAsia"/>
          <w:spacing w:val="-5"/>
        </w:rPr>
        <w:t>和</w:t>
      </w:r>
      <w:r>
        <w:rPr>
          <w:rFonts w:hint="eastAsia" w:ascii="宋体" w:hAnsi="宋体" w:eastAsia="宋体" w:cs="宋体"/>
          <w:spacing w:val="-5"/>
        </w:rPr>
        <w:t>〈</w:t>
      </w:r>
      <w:r>
        <w:rPr>
          <w:rFonts w:hint="eastAsia"/>
          <w:spacing w:val="-5"/>
        </w:rPr>
        <w:t>广东省既有建筑安全性鉴定收费指导价的通知</w:t>
      </w:r>
      <w:r>
        <w:rPr>
          <w:rFonts w:hint="eastAsia" w:ascii="宋体" w:hAnsi="宋体" w:eastAsia="宋体" w:cs="宋体"/>
          <w:spacing w:val="-5"/>
        </w:rPr>
        <w:t>〉</w:t>
      </w:r>
      <w:r>
        <w:rPr>
          <w:rFonts w:hint="eastAsia" w:ascii="宋体" w:hAnsi="宋体" w:eastAsia="宋体" w:cs="宋体"/>
          <w:spacing w:val="-5"/>
          <w:lang w:eastAsia="zh-CN"/>
        </w:rPr>
        <w:t>》</w:t>
      </w:r>
      <w:r>
        <w:rPr>
          <w:rFonts w:hint="eastAsia"/>
          <w:spacing w:val="-5"/>
        </w:rPr>
        <w:t>(粤建检协[2015]8号)的相关规定标准计算，结合市场调节价计费。</w:t>
      </w:r>
    </w:p>
    <w:p w14:paraId="746AE2D4">
      <w:pPr>
        <w:spacing w:before="149" w:line="221" w:lineRule="auto"/>
        <w:ind w:left="677"/>
        <w:outlineLvl w:val="1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3"/>
          <w:sz w:val="34"/>
          <w:szCs w:val="34"/>
        </w:rPr>
        <w:t>二、服务内容</w:t>
      </w:r>
    </w:p>
    <w:p w14:paraId="07C06C51">
      <w:pPr>
        <w:pStyle w:val="2"/>
        <w:spacing w:before="151" w:line="264" w:lineRule="auto"/>
        <w:ind w:left="5" w:right="115" w:firstLine="676"/>
        <w:rPr>
          <w:rFonts w:hint="default"/>
          <w:spacing w:val="-1"/>
          <w:lang w:val="en-US" w:eastAsia="zh-CN"/>
        </w:rPr>
      </w:pPr>
      <w:r>
        <w:rPr>
          <w:rFonts w:hint="eastAsia"/>
          <w:spacing w:val="-5"/>
          <w:lang w:eastAsia="zh-CN"/>
        </w:rPr>
        <w:t>（</w:t>
      </w:r>
      <w:r>
        <w:rPr>
          <w:rFonts w:hint="eastAsia"/>
          <w:spacing w:val="-5"/>
          <w:lang w:val="en-US" w:eastAsia="zh-CN"/>
        </w:rPr>
        <w:t>一）</w:t>
      </w:r>
      <w:r>
        <w:rPr>
          <w:spacing w:val="-5"/>
        </w:rPr>
        <w:t>检测范围：</w:t>
      </w:r>
      <w:r>
        <w:rPr>
          <w:rFonts w:hint="eastAsia"/>
          <w:spacing w:val="-1"/>
          <w:lang w:val="en-US" w:eastAsia="zh-CN"/>
        </w:rPr>
        <w:t>江门开放大学邦民楼、学生楼（4号楼）</w:t>
      </w:r>
    </w:p>
    <w:p w14:paraId="0A34A468">
      <w:pPr>
        <w:pStyle w:val="2"/>
        <w:spacing w:before="151" w:line="264" w:lineRule="auto"/>
        <w:ind w:left="5" w:right="115" w:firstLine="676"/>
        <w:rPr>
          <w:spacing w:val="-5"/>
        </w:rPr>
      </w:pPr>
      <w:r>
        <w:rPr>
          <w:rFonts w:hint="eastAsia"/>
          <w:spacing w:val="-5"/>
          <w:lang w:eastAsia="zh-CN"/>
        </w:rPr>
        <w:t>（</w:t>
      </w:r>
      <w:r>
        <w:rPr>
          <w:rFonts w:hint="eastAsia"/>
          <w:spacing w:val="-5"/>
          <w:lang w:val="en-US" w:eastAsia="zh-CN"/>
        </w:rPr>
        <w:t>二）</w:t>
      </w:r>
      <w:r>
        <w:rPr>
          <w:spacing w:val="-5"/>
        </w:rPr>
        <w:t>服务内容：房屋建筑初始资料调查</w:t>
      </w:r>
      <w:r>
        <w:rPr>
          <w:rFonts w:hint="eastAsia"/>
          <w:spacing w:val="-5"/>
          <w:lang w:eastAsia="zh-CN"/>
        </w:rPr>
        <w:t>；</w:t>
      </w:r>
      <w:r>
        <w:rPr>
          <w:rFonts w:hint="eastAsia"/>
          <w:spacing w:val="-5"/>
          <w:lang w:val="en-US" w:eastAsia="zh-CN"/>
        </w:rPr>
        <w:t>地基</w:t>
      </w:r>
      <w:r>
        <w:rPr>
          <w:spacing w:val="-5"/>
        </w:rPr>
        <w:t>基础</w:t>
      </w:r>
      <w:r>
        <w:rPr>
          <w:rFonts w:hint="eastAsia"/>
          <w:spacing w:val="-5"/>
          <w:lang w:val="en-US" w:eastAsia="zh-CN"/>
        </w:rPr>
        <w:t>开裂、下沉</w:t>
      </w:r>
      <w:r>
        <w:rPr>
          <w:spacing w:val="-5"/>
        </w:rPr>
        <w:t>等勘查</w:t>
      </w:r>
      <w:r>
        <w:rPr>
          <w:rFonts w:hint="eastAsia"/>
          <w:spacing w:val="-5"/>
          <w:lang w:eastAsia="zh-CN"/>
        </w:rPr>
        <w:t>；</w:t>
      </w:r>
      <w:r>
        <w:rPr>
          <w:spacing w:val="-5"/>
        </w:rPr>
        <w:t>承重结构构件变形、开裂、倾斜等勘查</w:t>
      </w:r>
      <w:r>
        <w:rPr>
          <w:rFonts w:hint="eastAsia"/>
          <w:spacing w:val="-5"/>
          <w:lang w:eastAsia="zh-CN"/>
        </w:rPr>
        <w:t>；</w:t>
      </w:r>
      <w:r>
        <w:rPr>
          <w:spacing w:val="-5"/>
        </w:rPr>
        <w:t>非承重墙、屋面、楼地面变形、开裂、倾斜、渗漏等勘查</w:t>
      </w:r>
      <w:r>
        <w:rPr>
          <w:rFonts w:hint="eastAsia"/>
          <w:spacing w:val="-5"/>
          <w:lang w:eastAsia="zh-CN"/>
        </w:rPr>
        <w:t>；</w:t>
      </w:r>
      <w:r>
        <w:rPr>
          <w:spacing w:val="-5"/>
        </w:rPr>
        <w:t>房屋建筑的损坏情况、鉴定结论和处理建议等。</w:t>
      </w:r>
    </w:p>
    <w:p w14:paraId="6C9F8BAD">
      <w:pPr>
        <w:pStyle w:val="2"/>
        <w:spacing w:before="151" w:line="264" w:lineRule="auto"/>
        <w:ind w:right="115" w:firstLine="660" w:firstLineChars="200"/>
        <w:rPr>
          <w:spacing w:val="-5"/>
        </w:rPr>
      </w:pPr>
      <w:r>
        <w:rPr>
          <w:rFonts w:hint="eastAsia"/>
          <w:spacing w:val="-5"/>
          <w:lang w:eastAsia="zh-CN"/>
        </w:rPr>
        <w:t>（</w:t>
      </w:r>
      <w:r>
        <w:rPr>
          <w:rFonts w:hint="eastAsia"/>
          <w:spacing w:val="-5"/>
          <w:lang w:val="en-US" w:eastAsia="zh-CN"/>
        </w:rPr>
        <w:t>三）</w:t>
      </w:r>
      <w:r>
        <w:rPr>
          <w:spacing w:val="-5"/>
        </w:rPr>
        <w:t xml:space="preserve">服务要求： </w:t>
      </w:r>
    </w:p>
    <w:p w14:paraId="31D678FA">
      <w:pPr>
        <w:pStyle w:val="2"/>
        <w:spacing w:before="151" w:line="264" w:lineRule="auto"/>
        <w:ind w:right="115" w:firstLine="660" w:firstLineChars="200"/>
        <w:rPr>
          <w:spacing w:val="-5"/>
        </w:rPr>
      </w:pPr>
      <w:r>
        <w:rPr>
          <w:spacing w:val="-5"/>
        </w:rPr>
        <w:t xml:space="preserve">（1）乙方的鉴定工作必须满足国家、行业和地方现行的有关标准、规范、规程及江门市有关规定和甲方的技术要求，出具的鉴定成果须真实、有效。 </w:t>
      </w:r>
    </w:p>
    <w:p w14:paraId="7916ED42">
      <w:pPr>
        <w:pStyle w:val="2"/>
        <w:spacing w:before="151" w:line="264" w:lineRule="auto"/>
        <w:ind w:right="115" w:firstLine="660" w:firstLineChars="200"/>
        <w:rPr>
          <w:rFonts w:hint="eastAsia" w:eastAsia="仿宋"/>
          <w:spacing w:val="-5"/>
          <w:lang w:eastAsia="zh-CN"/>
        </w:rPr>
      </w:pPr>
      <w:r>
        <w:rPr>
          <w:spacing w:val="-5"/>
        </w:rPr>
        <w:t>（2）乙方应根据甲方的通知，及时组织人员进行鉴定</w:t>
      </w:r>
      <w:r>
        <w:rPr>
          <w:rFonts w:hint="eastAsia"/>
          <w:spacing w:val="-5"/>
          <w:lang w:eastAsia="zh-CN"/>
        </w:rPr>
        <w:t>。</w:t>
      </w:r>
    </w:p>
    <w:p w14:paraId="5BE4F400">
      <w:pPr>
        <w:pStyle w:val="2"/>
        <w:spacing w:before="151" w:line="264" w:lineRule="auto"/>
        <w:ind w:left="5" w:right="115" w:firstLine="676"/>
      </w:pPr>
      <w:r>
        <w:rPr>
          <w:spacing w:val="-5"/>
        </w:rPr>
        <w:t>（</w:t>
      </w:r>
      <w:r>
        <w:rPr>
          <w:rFonts w:hint="eastAsia"/>
          <w:spacing w:val="-5"/>
          <w:lang w:val="en-US" w:eastAsia="zh-CN"/>
        </w:rPr>
        <w:t>四</w:t>
      </w:r>
      <w:r>
        <w:rPr>
          <w:spacing w:val="-5"/>
        </w:rPr>
        <w:t>）</w:t>
      </w:r>
      <w:r>
        <w:rPr>
          <w:rFonts w:hint="eastAsia"/>
          <w:spacing w:val="-5"/>
          <w:lang w:val="en-US" w:eastAsia="zh-CN"/>
        </w:rPr>
        <w:t>服务</w:t>
      </w:r>
      <w:r>
        <w:rPr>
          <w:spacing w:val="-5"/>
        </w:rPr>
        <w:t>期限：签订合同之日起开始计算</w:t>
      </w:r>
      <w:r>
        <w:rPr>
          <w:spacing w:val="-1"/>
        </w:rPr>
        <w:t>，10个工</w:t>
      </w:r>
      <w:r>
        <w:rPr>
          <w:rFonts w:hint="eastAsia"/>
          <w:spacing w:val="-1"/>
          <w:lang w:val="en-US" w:eastAsia="zh-CN"/>
        </w:rPr>
        <w:t>作</w:t>
      </w:r>
      <w:r>
        <w:rPr>
          <w:spacing w:val="-5"/>
        </w:rPr>
        <w:t>日内完成数据收集、整理、分析和形成鉴定报告。</w:t>
      </w:r>
    </w:p>
    <w:p w14:paraId="1D8BECD7">
      <w:pPr>
        <w:pStyle w:val="2"/>
        <w:spacing w:before="151" w:line="264" w:lineRule="auto"/>
        <w:ind w:right="115" w:firstLine="660" w:firstLineChars="200"/>
        <w:rPr>
          <w:spacing w:val="-5"/>
        </w:rPr>
      </w:pPr>
      <w:r>
        <w:rPr>
          <w:spacing w:val="-5"/>
        </w:rPr>
        <w:t>（</w:t>
      </w:r>
      <w:r>
        <w:rPr>
          <w:rFonts w:hint="eastAsia"/>
          <w:spacing w:val="-5"/>
          <w:lang w:val="en-US" w:eastAsia="zh-CN"/>
        </w:rPr>
        <w:t>五</w:t>
      </w:r>
      <w:r>
        <w:rPr>
          <w:spacing w:val="-5"/>
        </w:rPr>
        <w:t>）</w:t>
      </w:r>
      <w:r>
        <w:rPr>
          <w:rFonts w:hint="eastAsia"/>
          <w:spacing w:val="-5"/>
          <w:lang w:val="en-US" w:eastAsia="zh-CN"/>
        </w:rPr>
        <w:t>中选标准</w:t>
      </w:r>
      <w:r>
        <w:rPr>
          <w:spacing w:val="-5"/>
        </w:rPr>
        <w:t>：</w:t>
      </w:r>
      <w:r>
        <w:rPr>
          <w:rFonts w:hint="eastAsia"/>
          <w:spacing w:val="-5"/>
          <w:lang w:val="en-US" w:eastAsia="zh-CN"/>
        </w:rPr>
        <w:t>满足“单位资格要求”前提下，价低者中选</w:t>
      </w:r>
      <w:r>
        <w:rPr>
          <w:spacing w:val="-5"/>
        </w:rPr>
        <w:t>。</w:t>
      </w:r>
    </w:p>
    <w:p w14:paraId="40BFF144">
      <w:pPr>
        <w:spacing w:before="148" w:line="222" w:lineRule="auto"/>
        <w:ind w:left="680"/>
        <w:outlineLvl w:val="1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3"/>
          <w:sz w:val="34"/>
          <w:szCs w:val="34"/>
        </w:rPr>
        <w:t>三、</w:t>
      </w:r>
      <w:r>
        <w:rPr>
          <w:rFonts w:hint="eastAsia" w:ascii="黑体" w:hAnsi="黑体" w:eastAsia="黑体" w:cs="黑体"/>
          <w:spacing w:val="-3"/>
          <w:sz w:val="34"/>
          <w:szCs w:val="34"/>
          <w:lang w:val="en-US" w:eastAsia="zh-CN"/>
        </w:rPr>
        <w:t>单位</w:t>
      </w:r>
      <w:r>
        <w:rPr>
          <w:rFonts w:ascii="黑体" w:hAnsi="黑体" w:eastAsia="黑体" w:cs="黑体"/>
          <w:spacing w:val="-3"/>
          <w:sz w:val="34"/>
          <w:szCs w:val="34"/>
        </w:rPr>
        <w:t>资格要求</w:t>
      </w:r>
    </w:p>
    <w:p w14:paraId="40DAE800">
      <w:pPr>
        <w:pStyle w:val="2"/>
        <w:spacing w:before="151" w:line="277" w:lineRule="auto"/>
        <w:ind w:firstLine="683"/>
      </w:pPr>
      <w:r>
        <w:rPr>
          <w:spacing w:val="-1"/>
        </w:rPr>
        <w:t>（一）具有合法经营资格的法人，符合《中华人民共和国政府采购法》第二十二条规定</w:t>
      </w:r>
      <w:r>
        <w:rPr>
          <w:spacing w:val="-3"/>
        </w:rPr>
        <w:t>。</w:t>
      </w:r>
    </w:p>
    <w:p w14:paraId="205968EE">
      <w:pPr>
        <w:pStyle w:val="2"/>
        <w:spacing w:before="151" w:line="277" w:lineRule="auto"/>
        <w:ind w:firstLine="683"/>
        <w:rPr>
          <w:rFonts w:hint="eastAsia" w:eastAsia="仿宋"/>
          <w:spacing w:val="-1"/>
          <w:lang w:eastAsia="zh-CN"/>
        </w:rPr>
      </w:pPr>
      <w:r>
        <w:rPr>
          <w:spacing w:val="-2"/>
        </w:rPr>
        <w:t>（二</w:t>
      </w:r>
      <w:r>
        <w:rPr>
          <w:spacing w:val="-1"/>
        </w:rPr>
        <w:t>）</w:t>
      </w:r>
      <w:r>
        <w:rPr>
          <w:rFonts w:hint="eastAsia"/>
          <w:spacing w:val="-1"/>
        </w:rPr>
        <w:t>具备</w:t>
      </w:r>
      <w:r>
        <w:rPr>
          <w:spacing w:val="-1"/>
        </w:rPr>
        <w:t>房屋安全鉴定相关资质</w:t>
      </w:r>
      <w:r>
        <w:rPr>
          <w:rFonts w:hint="eastAsia"/>
          <w:spacing w:val="-1"/>
          <w:lang w:eastAsia="zh-CN"/>
        </w:rPr>
        <w:t>。</w:t>
      </w:r>
    </w:p>
    <w:p w14:paraId="2F70BC78">
      <w:pPr>
        <w:pStyle w:val="2"/>
        <w:spacing w:before="146" w:line="263" w:lineRule="auto"/>
        <w:ind w:left="51" w:right="2" w:firstLine="631"/>
      </w:pPr>
      <w:r>
        <w:rPr>
          <w:spacing w:val="6"/>
        </w:rPr>
        <w:t>（三）近3年未受到政府部门或行业协会处罚和未有不</w:t>
      </w:r>
      <w:r>
        <w:rPr>
          <w:spacing w:val="-12"/>
        </w:rPr>
        <w:t>良信誉记录。</w:t>
      </w:r>
    </w:p>
    <w:p w14:paraId="1CDFD1DA">
      <w:pPr>
        <w:spacing w:before="149" w:line="221" w:lineRule="auto"/>
        <w:ind w:left="693"/>
        <w:outlineLvl w:val="1"/>
        <w:rPr>
          <w:rFonts w:ascii="黑体" w:hAnsi="黑体" w:eastAsia="黑体" w:cs="黑体"/>
          <w:sz w:val="34"/>
          <w:szCs w:val="34"/>
        </w:rPr>
      </w:pPr>
      <w:r>
        <w:rPr>
          <w:rFonts w:ascii="黑体" w:hAnsi="黑体" w:eastAsia="黑体" w:cs="黑体"/>
          <w:spacing w:val="-6"/>
          <w:sz w:val="34"/>
          <w:szCs w:val="34"/>
        </w:rPr>
        <w:t>四、联系方式</w:t>
      </w:r>
      <w:bookmarkStart w:id="0" w:name="_GoBack"/>
      <w:bookmarkEnd w:id="0"/>
    </w:p>
    <w:p w14:paraId="7B03481C">
      <w:pPr>
        <w:pStyle w:val="2"/>
        <w:spacing w:before="151" w:line="224" w:lineRule="auto"/>
        <w:ind w:left="678"/>
        <w:rPr>
          <w:rFonts w:hint="eastAsia" w:eastAsia="仿宋"/>
          <w:lang w:eastAsia="zh-CN"/>
        </w:rPr>
      </w:pPr>
      <w:r>
        <w:rPr>
          <w:spacing w:val="-3"/>
        </w:rPr>
        <w:t>联系人：李</w:t>
      </w:r>
      <w:r>
        <w:rPr>
          <w:rFonts w:hint="eastAsia"/>
          <w:spacing w:val="-3"/>
          <w:lang w:val="en-US" w:eastAsia="zh-CN"/>
        </w:rPr>
        <w:t>老师</w:t>
      </w:r>
    </w:p>
    <w:p w14:paraId="726A0B60">
      <w:pPr>
        <w:pStyle w:val="2"/>
        <w:spacing w:before="149" w:line="224" w:lineRule="auto"/>
        <w:ind w:left="720"/>
        <w:rPr>
          <w:rFonts w:hint="default" w:eastAsia="仿宋"/>
          <w:lang w:val="en-US" w:eastAsia="zh-CN"/>
        </w:rPr>
      </w:pPr>
      <w:r>
        <w:rPr>
          <w:spacing w:val="-4"/>
        </w:rPr>
        <w:t>电  话：0750-</w:t>
      </w:r>
      <w:r>
        <w:rPr>
          <w:rFonts w:hint="eastAsia"/>
          <w:spacing w:val="-4"/>
          <w:lang w:val="en-US" w:eastAsia="zh-CN"/>
        </w:rPr>
        <w:t>3322873</w:t>
      </w:r>
    </w:p>
    <w:sectPr>
      <w:footerReference r:id="rId5" w:type="default"/>
      <w:pgSz w:w="11910" w:h="16840"/>
      <w:pgMar w:top="1431" w:right="1472" w:bottom="1593" w:left="1607" w:header="0" w:footer="122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431327">
    <w:pPr>
      <w:spacing w:line="235" w:lineRule="auto"/>
      <w:ind w:left="3920"/>
      <w:rPr>
        <w:rFonts w:ascii="宋体" w:hAnsi="宋体" w:eastAsia="宋体" w:cs="宋体"/>
        <w:sz w:val="28"/>
        <w:szCs w:val="28"/>
      </w:rPr>
    </w:pPr>
    <w:r>
      <w:rPr>
        <w:rFonts w:ascii="宋体" w:hAnsi="宋体" w:eastAsia="宋体" w:cs="宋体"/>
        <w:spacing w:val="-8"/>
        <w:sz w:val="28"/>
        <w:szCs w:val="28"/>
      </w:rPr>
      <w:t>—</w:t>
    </w:r>
    <w:r>
      <w:rPr>
        <w:rFonts w:ascii="宋体" w:hAnsi="宋体" w:eastAsia="宋体" w:cs="宋体"/>
        <w:spacing w:val="14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2</w:t>
    </w:r>
    <w:r>
      <w:rPr>
        <w:rFonts w:ascii="宋体" w:hAnsi="宋体" w:eastAsia="宋体" w:cs="宋体"/>
        <w:spacing w:val="9"/>
        <w:sz w:val="28"/>
        <w:szCs w:val="28"/>
      </w:rPr>
      <w:t xml:space="preserve"> </w:t>
    </w:r>
    <w:r>
      <w:rPr>
        <w:rFonts w:ascii="宋体" w:hAnsi="宋体" w:eastAsia="宋体" w:cs="宋体"/>
        <w:spacing w:val="-8"/>
        <w:sz w:val="28"/>
        <w:szCs w:val="28"/>
      </w:rPr>
      <w:t>—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compatSetting w:name="compatibilityMode" w:uri="http://schemas.microsoft.com/office/word" w:val="14"/>
  </w:compat>
  <w:rsids>
    <w:rsidRoot w:val="00000000"/>
    <w:rsid w:val="05622B69"/>
    <w:rsid w:val="17244F44"/>
    <w:rsid w:val="1C4761D3"/>
    <w:rsid w:val="204333BD"/>
    <w:rsid w:val="216E446A"/>
    <w:rsid w:val="241C3417"/>
    <w:rsid w:val="241D4193"/>
    <w:rsid w:val="2D520C78"/>
    <w:rsid w:val="30DB7B48"/>
    <w:rsid w:val="37F61ECE"/>
    <w:rsid w:val="44727D51"/>
    <w:rsid w:val="493A4AAE"/>
    <w:rsid w:val="4B7055E9"/>
    <w:rsid w:val="4DA55F9E"/>
    <w:rsid w:val="4E151645"/>
    <w:rsid w:val="57E16894"/>
    <w:rsid w:val="60213E7A"/>
    <w:rsid w:val="636C6BB4"/>
    <w:rsid w:val="662B3BD6"/>
    <w:rsid w:val="668D7669"/>
    <w:rsid w:val="6A88754C"/>
    <w:rsid w:val="6FDB2297"/>
    <w:rsid w:val="71CF7BDA"/>
    <w:rsid w:val="721B3607"/>
    <w:rsid w:val="782217F2"/>
    <w:rsid w:val="7DBC321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4"/>
      <w:szCs w:val="3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691</Words>
  <Characters>721</Characters>
  <TotalTime>35</TotalTime>
  <ScaleCrop>false</ScaleCrop>
  <LinksUpToDate>false</LinksUpToDate>
  <CharactersWithSpaces>726</CharactersWithSpaces>
  <Application>WPS Office_12.1.0.25225_F1E327BC-269C-435d-A152-05C5408002CA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2022-05-24T10:27:00Z</dcterms:created>
  <dc:creator>雨林木风</dc:creator>
  <cp:lastModifiedBy>Mona</cp:lastModifiedBy>
  <cp:lastPrinted>2026-01-06T07:33:00Z</cp:lastPrinted>
  <dcterms:modified xsi:type="dcterms:W3CDTF">2026-03-11T07:40:30Z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2026-01-06T09:30:30Z</vt:filetime>
  </property>
  <property fmtid="{D5CDD505-2E9C-101B-9397-08002B2CF9AE}" pid="4" name="KSOTemplateDocerSaveRecord">
    <vt:lpwstr>eyJoZGlkIjoiMjcxNjExMWM2MzE1MzYxMDdjNzQ3MWIxMWQ1YzNhMjgiLCJ1c2VySWQiOiIxMjQ3NDA5NDk2In0=</vt:lpwstr>
  </property>
  <property fmtid="{D5CDD505-2E9C-101B-9397-08002B2CF9AE}" pid="5" name="KSOProductBuildVer">
    <vt:lpwstr>2052-12.1.0.25225</vt:lpwstr>
  </property>
  <property fmtid="{D5CDD505-2E9C-101B-9397-08002B2CF9AE}" pid="6" name="ICV">
    <vt:lpwstr>FC409F8A7A0949D29CCB36F306CE39F0_12</vt:lpwstr>
  </property>
</Properties>
</file>